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Lesson 1: Scripture and the Rules of Investigation</w:t>
      </w:r>
    </w:p>
    <w:p>
      <w:pPr>
        <w:pStyle w:val="Subtitle"/>
      </w:pPr>
      <w:r>
        <w:t>How to conduct a Scripture first investigation</w:t>
      </w:r>
    </w:p>
    <w:p>
      <w:r>
        <w:t>A responsible investigation begins with the biblical text, determines what it says in context, distinguishes explicit statements from further deductions, and tests every interpretation against contrary as well as supporting evidence. John explicitly presents Jesus as the Christ, the Son of God. The full implications of those titles must be established by examining the Gospel and the wider biblical corpus, rather than assumed from a denominational definition.</w:t>
      </w:r>
    </w:p>
    <w:p>
      <w:r>
        <w:t>Primary Scriptures: Acts 17:10–12; 2 Timothy 2:14–18; 3:14–17; John 20:24–31. Supporting Scriptures: John 5:39–40; 10:30–38; 17:1–5; 20:17; Proverbs 18:13, 17; Luke 24:25–27, 44–47. Primary reading Bible: KJV. Audience: Adults and older youth. Teaching time: Two 60 minute sessions, or one 90 minute session with advance reading and the written assessment completed afterward.</w:t>
      </w:r>
    </w:p>
    <w:p>
      <w:pPr>
        <w:pStyle w:val="Heading1"/>
      </w:pPr>
      <w:r>
        <w:t>Learning objectives</w:t>
      </w:r>
    </w:p>
    <w:p>
      <w:r>
        <w:t>By the end, learners should be able to explain the Bereans' combination of receptivity and examination; place 2 Timothy's instruction within its concern about harmful teaching; distinguish an explicit statement, a contextual inference, and a theological synthesis; identify who is speaking and whether the narrator endorses the statement; compare translations without assuming every difference is a manuscript difference; and write a conclusion proportionate to the available evidence.</w:t>
      </w:r>
    </w:p>
    <w:p>
      <w:pPr>
        <w:pStyle w:val="Heading1"/>
      </w:pPr>
      <w:r>
        <w:t>1 Opening illustration and the investigator mindset</w:t>
      </w:r>
    </w:p>
    <w:p>
      <w:r>
        <w:t>Imagine receiving two reports about an argument between students. One person says the first student started it; another says the second student did. Repeating the report that you heard first does not establish what happened. An investigator asks who witnessed the event, what each person actually saw, what was inferred, and whether another detail changes the meaning of the account.</w:t>
      </w:r>
    </w:p>
    <w:p>
      <w:r>
        <w:t>Bible study requires similar care, although Scripture is not simply a collection of unreliable rumors. Its narratives may capture accusations, misunderstandings, questions, and responses. The investigator must distinguish the inspired account's presentation from the truth of every claim made by every character within it. Recording an accusation is not automatically endorsing the accusation.</w:t>
      </w:r>
    </w:p>
    <w:p>
      <w:r>
        <w:t>Opening rule: We can approach the text with convictions, but our convictions must remain answerable to the evidence. Denying that we have assumptions does not remove them. Naming them makes it possible to test them.</w:t>
      </w:r>
    </w:p>
    <w:p>
      <w:pPr>
        <w:pStyle w:val="Heading1"/>
      </w:pPr>
      <w:r>
        <w:t>2 The Bereans received and examined the message</w:t>
      </w:r>
    </w:p>
    <w:p>
      <w:pPr>
        <w:pStyle w:val="Heading2"/>
      </w:pPr>
      <w:r>
        <w:t>Read Acts 17 in its setting</w:t>
      </w:r>
    </w:p>
    <w:p>
      <w:r>
        <w:t>Read Acts 17:1–12, concentrating on verses 10–12. The earlier account describes Paul's reasoning from Scripture concerning the Messiah's suffering and resurrection and his identification of Jesus as that Messiah. Paul and Silas then arrive at Berea and enter the synagogue.</w:t>
      </w:r>
    </w:p>
    <w:p>
      <w:r>
        <w:t>Acts 17:11 says, “they received the word with all readiness of mind, and searched the scriptures daily, whether those things were so.” Two actions occur together: willingness to hear and willingness to examine. Verse 12 describes belief following this encounter. The Bereans' openness does not require believing before examination; their examination does not require hostility toward the messenger.</w:t>
      </w:r>
    </w:p>
    <w:p>
      <w:r>
        <w:t>The Scriptures available in this setting are Israel's sacred writings, not a completed modern New Testament. Paul is presenting claims about Jesus in relation to those writings. Applying their practice to a whole-Bible investigation is a reasonable extension, but that extension should not obscure the original setting.</w:t>
      </w:r>
    </w:p>
    <w:p>
      <w:pPr>
        <w:pStyle w:val="Heading2"/>
      </w:pPr>
      <w:r>
        <w:t>Weigh the evidence</w:t>
      </w:r>
    </w:p>
    <w:p>
      <w:r>
        <w:t>Explicit: The Bereans receive the message readily and examine Scripture daily to determine whether the claims are so. Strong contextual inference: The narrative commends their response as a fruitful combination of receptivity and examination. Not established by this passage: That every private interpretation is equally correct, that one translation is infallible, or that the Bereans conducted an exhaustive manuscript comparison.</w:t>
      </w:r>
    </w:p>
    <w:p>
      <w:r>
        <w:t>The Greek expression represented by examining uses a form of anakrino. In this passage it concerns careful examination. That supports an investigative practice; it does not make every detail of a modern courtroom analogy part of the verse. The language note is a clarification, not a separate proof [L1].</w:t>
      </w:r>
    </w:p>
    <w:p>
      <w:r>
        <w:t>Section conclusion: Willing listening and evidence testing belong together. Acts supports neither automatic acceptance based on prestige nor automatic rejection based on unfamiliarity.</w:t>
      </w:r>
    </w:p>
    <w:p>
      <w:pPr>
        <w:pStyle w:val="Heading1"/>
      </w:pPr>
      <w:r>
        <w:t>3 Accurate handling concerns truth and conduct</w:t>
      </w:r>
    </w:p>
    <w:p>
      <w:pPr>
        <w:pStyle w:val="Heading2"/>
      </w:pPr>
      <w:r>
        <w:t>Read 2 Timothy 2 together</w:t>
      </w:r>
    </w:p>
    <w:p>
      <w:r>
        <w:t>Read 2 Timothy 2:14–18 and then 2:22–26. Verse 15's instruction sits between warnings about destructive word disputes and harmful teaching. Hymenaeus and Philetus are named in connection with an erroneous resurrection claim that damages faith. The larger paragraph also instructs the Lord's servant to be gentle, able to teach, and patient.</w:t>
      </w:r>
    </w:p>
    <w:p>
      <w:r>
        <w:t>The KJV reads, “Study to shew thyself approved unto God,” and speaks of “rightly dividing the word of truth.” Modern English can make study sound exclusively like reading books and dividing sound exclusively like partitioning a document. Those impressions should be checked against the language and argument.</w:t>
      </w:r>
    </w:p>
    <w:p>
      <w:r>
        <w:t>Spoudazo calls for diligence or earnest effort. Orthotomeo concerns handling or setting forth the message rightly; the straight-cutting image should not be converted automatically into an instruction to divide the Bible into a particular later theological scheme. Such a scheme needs its own argument. The passage calls for accuracy in contrast with deviation and harmful teaching [L2].</w:t>
      </w:r>
    </w:p>
    <w:p>
      <w:pPr>
        <w:pStyle w:val="Heading2"/>
      </w:pPr>
      <w:r>
        <w:t>Read 2 Timothy 3 together</w:t>
      </w:r>
    </w:p>
    <w:p>
      <w:r>
        <w:t>Read 3:14–17. Timothy is reminded of the sacred writings known from childhood, their relation to salvation through faith in Christ, and Scripture's usefulness for teaching, correction, and formation in righteousness. Verse 17 directs attention to the equipped person and good works. Scripture study aims at faithful understanding and life, not merely victory in disputes.</w:t>
      </w:r>
    </w:p>
    <w:p>
      <w:r>
        <w:t>The claim that Scripture is God-given authority does not make each interpreter's explanation automatically God-given. Keep the text's authority separate from confidence in your interpretation of it. A teacher may quote accurately and still draw an inference the passage does not support.</w:t>
      </w:r>
    </w:p>
    <w:p>
      <w:pPr>
        <w:pStyle w:val="Heading2"/>
      </w:pPr>
      <w:r>
        <w:t>Weigh the evidence</w:t>
      </w:r>
    </w:p>
    <w:p>
      <w:r>
        <w:t>The passages explicitly require faithful handling and recognize that teaching can be erroneous and destructive. They support correction of false claims; they do not justify insulting people, dismissing questions, or identifying every disagreement as rebellion. They affirm Scripture's formative role; they do not specify all the details of textual transmission or settle the later differences between Christian canons.</w:t>
      </w:r>
    </w:p>
    <w:p>
      <w:r>
        <w:t>Section conclusion: Responsible interpretation joins accuracy, correction, patience, and faithful conduct. Confidence without accountability is insufficient, and courtesy without concern for truth is insufficient.</w:t>
      </w:r>
    </w:p>
    <w:p>
      <w:pPr>
        <w:pStyle w:val="Heading1"/>
      </w:pPr>
      <w:r>
        <w:t>4 Distinguish the text from deductions about it</w:t>
      </w:r>
    </w:p>
    <w:p>
      <w:r>
        <w:t>Use the following classification consistently. These categories identify how a claim is supported; they do not assign a spiritual rank to the person making it.</w:t>
      </w:r>
    </w:p>
    <w:p>
      <w:r>
        <w:t>Explicit statement — The passage directly states the proposition Example: John 20 31 calls Jesus the Christ and Son of God</w:t>
      </w:r>
    </w:p>
    <w:p>
      <w:r>
        <w:t>Strong contextual inference — The wording and surrounding account strongly support the conclusion Example: Thomas addresses Jesus in John 20 28 because the narrator says he speaks to him</w:t>
      </w:r>
    </w:p>
    <w:p>
      <w:r>
        <w:t>Possible interpretation — The proposal fits some evidence but competes with another reading Example: A particular title is representative rather than ontological</w:t>
      </w:r>
    </w:p>
    <w:p>
      <w:r>
        <w:t>Cumulative synthesis — Several passages are joined into a wider explanation Example: An account of how divine titles humanity and Father Son relations fit together</w:t>
      </w:r>
    </w:p>
    <w:p>
      <w:r>
        <w:t>Unsupported assertion — The claim lacks an adequate argument from the relevant text Example: A denominational label by itself proves an interpretation correct</w:t>
      </w:r>
    </w:p>
    <w:p>
      <w:r>
        <w:t>An inference is not automatically weak. Ordinary reading requires inference about referents, implication, and connection. The distinction prevents an interpreter from presenting an inference as if the Bible contains the identical sentence. A cumulative synthesis may be strong, but its premises must be visible and independently defensible.</w:t>
      </w:r>
    </w:p>
    <w:p>
      <w:pPr>
        <w:pStyle w:val="Heading2"/>
      </w:pPr>
      <w:r>
        <w:t>Practice with two absolute claims</w:t>
      </w:r>
    </w:p>
    <w:p>
      <w:r>
        <w:t>Consider “Scripture never distinguishes Jesus from the Father.” John 17:1–5 presents Jesus addressing the Father, completing his given work, and requesting glorification. That is direct relational evidence against an undifferentiated account. A theory explaining those relations is a further step.</w:t>
      </w:r>
    </w:p>
    <w:p>
      <w:r>
        <w:t>Consider “No biblical passage applies the word God to Jesus.” John 20:28 records Thomas's God-language directed to Jesus on the strong direct-address reading. Even if a reader argues about the title's theological significance, the argument must acknowledge the wording. The lexical application and its full significance are related but different questions.</w:t>
      </w:r>
    </w:p>
    <w:p>
      <w:r>
        <w:t>Now consider “Jesus' relation to God means that no divine predicate can ever apply substantively to him.” That is an additional exclusion not supplied merely by a relational sentence. Likewise, “God-language means Jesus must be the Father” adds an identity conclusion the title alone does not contain. Each claim needs further investigation.</w:t>
      </w:r>
    </w:p>
    <w:p>
      <w:r>
        <w:t>Section conclusion: Precision requires saying whether we are quoting, identifying a grammatical relation, making an inference, or proposing a synthesis.</w:t>
      </w:r>
    </w:p>
    <w:p>
      <w:pPr>
        <w:pStyle w:val="Heading1"/>
      </w:pPr>
      <w:r>
        <w:t>5 A worked examination of John 20</w:t>
      </w:r>
    </w:p>
    <w:p>
      <w:pPr>
        <w:pStyle w:val="Heading2"/>
      </w:pPr>
      <w:r>
        <w:t>Establish the immediate sequence</w:t>
      </w:r>
    </w:p>
    <w:p>
      <w:r>
        <w:t>Read John 20:17 and 24–31. Jesus identifies the Father as his God and the disciples' God in verse 17. Thomas is absent from an earlier appearance, hears the disciples' testimony, and demands evidence. Jesus later addresses him, invites examination, and calls him to belief. Thomas replies, and Jesus responds to that belief. The narrator then explains the purpose of the recorded signs.</w:t>
      </w:r>
    </w:p>
    <w:p>
      <w:r>
        <w:t>Do not add actions that are not narrated. Jesus invites Thomas to touch, but this account does not explicitly state that Thomas actually touches him. The distinction is a useful small exercise in keeping an assumed reconstruction separate from reported events.</w:t>
      </w:r>
    </w:p>
    <w:p>
      <w:pPr>
        <w:pStyle w:val="Heading2"/>
      </w:pPr>
      <w:r>
        <w:t>Identify what the narrator says</w:t>
      </w:r>
    </w:p>
    <w:p>
      <w:r>
        <w:t>Verse 28 states, “And Thomas answered and said unto him, My Lord and my God.” The introduction locates Thomas's response as directed to Jesus. The proposal that Thomas speaks an unrelated exclamation to heaven requires an unmarked change of addressee and fits the immediate narration less naturally. This is a reasoned grammatical and narrative judgment, not an appeal to a creed.</w:t>
      </w:r>
    </w:p>
    <w:p>
      <w:r>
        <w:t>Verse 29 connects Thomas's response with belief. The narrative contains no rebuke of the confession's address. That strongly supports treating the confession as part of the Gospel's positive presentation of faith. Exactly how its divine language relates to verse 17 and the prologue remains a question for later lessons.</w:t>
      </w:r>
    </w:p>
    <w:p>
      <w:pPr>
        <w:pStyle w:val="Heading2"/>
      </w:pPr>
      <w:r>
        <w:t>Read the purpose statement without narrowing it artificially</w:t>
      </w:r>
    </w:p>
    <w:p>
      <w:r>
        <w:t>John 20:31 says that the signs are written “that ye might believe that Jesus is the Christ, the Son of God; and that believing ye might have life through his name.” Christos concerns the anointed Messiah; huios tou theou means Son of God. These are explicit identity descriptions and central to the Gospel's purpose.</w:t>
      </w:r>
    </w:p>
    <w:p>
      <w:r>
        <w:t>A statement of purpose is not necessarily an exhaustive list of every claim in a book. John can identify Jesus as Son of God while also recording the confession in verse 28. The title Son does not settle every question about nature, preexistence, or divine relation merely through its English dictionary meaning. Those questions require the Gospel's actual portrayal.</w:t>
      </w:r>
    </w:p>
    <w:p>
      <w:pPr>
        <w:pStyle w:val="Heading2"/>
      </w:pPr>
      <w:r>
        <w:t>Record the provisional findings</w:t>
      </w:r>
    </w:p>
    <w:p>
      <w:r>
        <w:t>Established: John presents Jesus as the risen Lord, the Christ, and Son of God; Thomas addresses him with God-language on the strongest immediate reading; Jesus also identifies the Father as his God. Not yet established by this exercise: A complete account of divine essence, an equation of Jesus with the Father, or the claim that the divine title is only ordinary agency language.</w:t>
      </w:r>
    </w:p>
    <w:p>
      <w:r>
        <w:t>Section conclusion: The correct method preserves all these statements. A conclusion that deletes either Jesus' God-language or his relation to his God is incomplete before the wider course even begins.</w:t>
      </w:r>
    </w:p>
    <w:p>
      <w:pPr>
        <w:pStyle w:val="Heading1"/>
      </w:pPr>
      <w:r>
        <w:t>6 Read accusations together with the answer</w:t>
      </w:r>
    </w:p>
    <w:p>
      <w:r>
        <w:t>Read John 10:30–38. Jesus makes a unity statement; his opponents accuse him of blasphemy; Jesus answers with Scripture, describes himself as the one sanctified and sent by the Father, and points to his works and mutual indwelling.</w:t>
      </w:r>
    </w:p>
    <w:p>
      <w:r>
        <w:t>The opponents' accusation is evidence for how they understood or represented Jesus' claim. It is not automatically the narrator's complete theological explanation. Jesus' reply matters. Equally, the appeal to Psalm 82 does not automatically establish that all his claims are ordinary human honorifics. The reply ends with his distinctive relation to the Father, which must also be interpreted.</w:t>
      </w:r>
    </w:p>
    <w:p>
      <w:r>
        <w:t>Proverbs 18:13 warns against answering before hearing, while 18:17 recognizes that an initial account can appear persuasive until examined. These wisdom principles support careful listening; they are not permission to assume all witnesses are unreliable or every interpretation equally probable.</w:t>
      </w:r>
    </w:p>
    <w:p>
      <w:r>
        <w:t>Section conclusion: A recorded accusation must be distinguished from an endorsed explanation, and an answer must be read through to its conclusion.</w:t>
      </w:r>
    </w:p>
    <w:p>
      <w:pPr>
        <w:pStyle w:val="Heading1"/>
      </w:pPr>
      <w:r>
        <w:t>7 Language translation and manuscript differences</w:t>
      </w:r>
    </w:p>
    <w:p>
      <w:pPr>
        <w:pStyle w:val="Heading2"/>
      </w:pPr>
      <w:r>
        <w:t>John 5 39 demonstrates a grammatical decision</w:t>
      </w:r>
    </w:p>
    <w:p>
      <w:r>
        <w:t>The KJV begins, “Search the scriptures.” Several modern translations describe the hearers as searching instead. The Greek form eraunate can function as an imperative or indicative. This is chiefly a question of grammatical interpretation, not proof that translators read different manuscripts. The surrounding criticism of the hearers makes the descriptive reading strong, while the command reading remains grammatically possible [L3].</w:t>
      </w:r>
    </w:p>
    <w:p>
      <w:r>
        <w:t>Under either reading, the Scriptures testify about Jesus, and the hearers' refusal to come to him for life is exposed in verse 40. Therefore the interpretive difference matters, but it does not reverse the paragraph's central claim. Do not base the entire investigation method on the assertion that the Greek unambiguously commands searching here; Acts 17 independently supplies the examination example.</w:t>
      </w:r>
    </w:p>
    <w:p>
      <w:pPr>
        <w:pStyle w:val="Heading2"/>
      </w:pPr>
      <w:r>
        <w:t>John 20 31 demonstrates a small textual variant</w:t>
      </w:r>
    </w:p>
    <w:p>
      <w:r>
        <w:t>Published notes report forms of the believing verb with and without a sigma: pisteusete and pisteuete in conventional transliteration. They are aorist and present subjunctive forms, respectively. Some renderings emphasize coming to belief and others continuing in belief. Both readings have substantial witness support, and the aspect difference does not mechanically settle the Gospel's entire audience or purpose [L4].</w:t>
      </w:r>
    </w:p>
    <w:p>
      <w:r>
        <w:t>The identity statement about Jesus as Christ and Son of God remains in both forms. Record the variant and its limited effect rather than using it to manufacture a completely different theology. A manuscript difference is about wording in witnesses; a translation difference can also arise from grammar, vocabulary, or explanatory additions.</w:t>
      </w:r>
    </w:p>
    <w:p>
      <w:pPr>
        <w:pStyle w:val="Heading2"/>
      </w:pPr>
      <w:r>
        <w:t>Rules for using language tools</w:t>
      </w:r>
    </w:p>
    <w:p>
      <w:r>
        <w:t>A word number identifies a lexical entry; it does not supply the full meaning of every occurrence. An interlinear follows its own edited text and interpretive choices. A lexicon lists possible senses, but syntax and context select among them. A translation note may distinguish textual, grammatical, and theological judgments. Inspect those distinctions rather than saying only “the original language proves it.”</w:t>
      </w:r>
    </w:p>
    <w:p>
      <w:r>
        <w:t>Section conclusion: Languages clarify the evidence, but they must not become a way of concealing an inference. State the actual grammatical or textual issue and explain its effect on the conclusion.</w:t>
      </w:r>
    </w:p>
    <w:p>
      <w:pPr>
        <w:pStyle w:val="Heading1"/>
      </w:pPr>
      <w:r>
        <w:t>8 Compare the principal traditions without adopting their assumptions</w:t>
      </w:r>
    </w:p>
    <w:p>
      <w:r>
        <w:t>For this opening lesson, describe representative interpretive tendencies rather than conduct the whole course's doctrinal evaluation. Actual adherents differ in how they argue. The comparison concerns claims, not people's motives or sincerity.</w:t>
      </w:r>
    </w:p>
    <w:p>
      <w:r>
        <w:t>A Trinitarian reader may understand Son of God as compatible with substantive deity while distinguishing the Son from the Father. A Oneness reader may connect sonship to God's incarnate human life and read divine language as the one God's manifestation. A biblical Unitarian reader may emphasize a distinct human Messiah sent and exalted by the Father and explain divine language through agency. Each description must be tested by the passages rather than installed as the meaning of the titles beforehand.</w:t>
      </w:r>
    </w:p>
    <w:p>
      <w:r>
        <w:t>Give each explanation the same four questions: What statement supports it? What contextual feature supports it? What is its strongest difficulty? What additional assumption is necessary? A possible explanation is not automatically the best explanation, and an explanation with a difficulty is not automatically false if it can account for that difficulty responsibly.</w:t>
      </w:r>
    </w:p>
    <w:p>
      <w:r>
        <w:t>Independence does not require rejecting a conclusion merely because a tradition teaches it. It requires making the conclusion depend on the evidence rather than the tradition's authority. Conversely, a familiar doctrine cannot be protected by declaring all contrary passages metaphorical without a contextual argument.</w:t>
      </w:r>
    </w:p>
    <w:p>
      <w:r>
        <w:t>Section conclusion: Compare the strongest fair versions and use the same standards of evidence for all three. The opening lesson establishes the procedure; it does not supply the full final verdict.</w:t>
      </w:r>
    </w:p>
    <w:p>
      <w:pPr>
        <w:pStyle w:val="Heading1"/>
      </w:pPr>
      <w:r>
        <w:t>9 A repeatable passage examination procedure</w:t>
      </w:r>
    </w:p>
    <w:p>
      <w:pPr>
        <w:pStyle w:val="ListNumber"/>
      </w:pPr>
      <w:r>
        <w:t>1. Write the claim being tested as a complete sentence. Avoid questions so vague that no evidence could answer them.</w:t>
      </w:r>
    </w:p>
    <w:p>
      <w:pPr>
        <w:pStyle w:val="ListNumber"/>
      </w:pPr>
      <w:r>
        <w:t>2. Read the whole paragraph and identify speaker, audience, genre, and situation.</w:t>
      </w:r>
    </w:p>
    <w:p>
      <w:pPr>
        <w:pStyle w:val="ListNumber"/>
      </w:pPr>
      <w:r>
        <w:t>3. Record the exact wording and grammatical relationships before explaining them.</w:t>
      </w:r>
    </w:p>
    <w:p>
      <w:pPr>
        <w:pStyle w:val="ListNumber"/>
      </w:pPr>
      <w:r>
        <w:t>4. Check whether a textual variant or translation decision materially affects the claim.</w:t>
      </w:r>
    </w:p>
    <w:p>
      <w:pPr>
        <w:pStyle w:val="ListNumber"/>
      </w:pPr>
      <w:r>
        <w:t>5. State the strongest reading and give reasons from the immediate context.</w:t>
      </w:r>
    </w:p>
    <w:p>
      <w:pPr>
        <w:pStyle w:val="ListNumber"/>
      </w:pPr>
      <w:r>
        <w:t>6. Identify the strongest alternative and contrary evidence. Do not give it a weaker version than its advocates use.</w:t>
      </w:r>
    </w:p>
    <w:p>
      <w:pPr>
        <w:pStyle w:val="ListNumber"/>
      </w:pPr>
      <w:r>
        <w:t>7. Compare related passages after establishing the local meaning. Ask whether the synthesis preserves each statement.</w:t>
      </w:r>
    </w:p>
    <w:p>
      <w:pPr>
        <w:pStyle w:val="ListNumber"/>
      </w:pPr>
      <w:r>
        <w:t>8. Write a conclusion with scope and confidence. State what is established, what is inferred, and what remains unproved.</w:t>
      </w:r>
    </w:p>
    <w:p>
      <w:r>
        <w:t>Evidence record fields: Passage; claim; speaker and audience; immediate observations; language issue; textual issue; preferred reading; alternative reading; supporting and contrary passages; conclusion; confidence and reason. Keep each field distinct even when your notes are brief.</w:t>
      </w:r>
    </w:p>
    <w:p>
      <w:r>
        <w:t>Confidence guide: High means the wording and context strongly constrain the judgment. Moderate means the judgment is preferable but a substantial alternative remains. Low means the passage does not adequately discriminate between the proposals. These labels express evidential strength, not degrees of inspiration or personal faith.</w:t>
      </w:r>
    </w:p>
    <w:p>
      <w:pPr>
        <w:pStyle w:val="ListBullet"/>
      </w:pPr>
      <w:r>
        <w:t>Question 1: What two features does Acts 17 commend?</w:t>
      </w:r>
    </w:p>
    <w:p>
      <w:pPr>
        <w:pStyle w:val="ListBullet"/>
      </w:pPr>
      <w:r>
        <w:t>Question 2: Does Acts 17 say the Bereans compared every manuscript?</w:t>
      </w:r>
    </w:p>
    <w:p>
      <w:pPr>
        <w:pStyle w:val="ListBullet"/>
      </w:pPr>
      <w:r>
        <w:t>Question 3: Why should 2 Timothy 2:15 be read with verses 14 and 16–18?</w:t>
      </w:r>
    </w:p>
    <w:p>
      <w:pPr>
        <w:pStyle w:val="ListBullet"/>
      </w:pPr>
      <w:r>
        <w:t>Question 4: Does rightly dividing establish one particular later theological system?</w:t>
      </w:r>
    </w:p>
    <w:p>
      <w:pPr>
        <w:pStyle w:val="ListBullet"/>
      </w:pPr>
      <w:r>
        <w:t>Question 5: What does John 20:31 explicitly identify Jesus as?</w:t>
      </w:r>
    </w:p>
    <w:p>
      <w:pPr>
        <w:pStyle w:val="ListBullet"/>
      </w:pPr>
      <w:r>
        <w:t>Question 6: Why is Jesus the strongest immediate addressee in John 20:28?</w:t>
      </w:r>
    </w:p>
    <w:p>
      <w:pPr>
        <w:pStyle w:val="ListBullet"/>
      </w:pPr>
      <w:r>
        <w:t>Question 7: Does this passage explicitly say Thomas touches Jesus?</w:t>
      </w:r>
    </w:p>
    <w:p>
      <w:pPr>
        <w:pStyle w:val="ListBullet"/>
      </w:pPr>
      <w:r>
        <w:t>Question 8: How must John 20:17 affect an interpretation of 20:28?</w:t>
      </w:r>
    </w:p>
    <w:p>
      <w:pPr>
        <w:pStyle w:val="ListBullet"/>
      </w:pPr>
      <w:r>
        <w:t>Question 9: Why does a difference between Search and You search not automatically prove a manuscript difference?</w:t>
      </w:r>
    </w:p>
    <w:p>
      <w:pPr>
        <w:pStyle w:val="ListBullet"/>
      </w:pPr>
      <w:r>
        <w:t>Question 10: What makes an independent investigation fair?</w:t>
      </w:r>
    </w:p>
    <w:p>
      <w:pPr>
        <w:pStyle w:val="Heading1"/>
      </w:pPr>
      <w:r>
        <w:t>Student questions and written assessment</w:t>
      </w:r>
    </w:p>
    <w:p>
      <w:r>
        <w:t>Write 400 to 600 words explaining what John 20:17 and 24–31 establish about Jesus and what they do not independently settle. Include three explicit observations, two contextual inferences, one alternative interpretation, and a provisional conclusion. Refer to the text rather than merely naming a denomination.</w:t>
      </w:r>
    </w:p>
    <w:p>
      <w:pPr>
        <w:pStyle w:val="Heading1"/>
      </w:pPr>
      <w:r>
        <w:t>11 Comprehensive conclusion of Lesson 1</w:t>
      </w:r>
    </w:p>
    <w:p>
      <w:r>
        <w:t>Scripture calls for a receptive, diligent, accurate, and ethically responsible examination of its teaching. Acts 17 supplies a commendable example of hearing and testing. Second Timothy requires faithful handling and connects Scripture with correction and good works. John states that Jesus is the Christ, the Son of God, and presents belief in him as related to life.</w:t>
      </w:r>
    </w:p>
    <w:p>
      <w:r>
        <w:t>The immediate John 20 evidence also requires acknowledging both Thomas's God-language directed to Jesus on the strong contextual reading and Jesus' reference to the Father as his God. The correct method retains both rather than letting one preferred verse suppress another. These findings are clear even though this first lesson does not independently determine the complete metaphysical explanation of the relationship.</w:t>
      </w:r>
    </w:p>
    <w:p>
      <w:r>
        <w:t>Final judgment for this lesson: No doctrinal system may be assumed to be the meaning of the text before examination. Explicit statements, grammatical judgments, and cumulative syntheses must be identified separately. Every proposed explanation must face the strongest contrary evidence. The course's later conclusions will be justified only to the degree that they follow this procedure.</w:t>
      </w:r>
    </w:p>
    <w:p>
      <w:r>
        <w:t>Confidence: High for the methodological findings, the stated Messiah and Son titles, and the need to preserve the relational wording. High for Jesus as the immediate addressee of Thomas's confession. A complete Godhead synthesis is not yet established by this introductory lesson alone; that is a definite limitation of its scope, not an assertion that the whole subject is unknowable.</w:t>
      </w:r>
    </w:p>
    <w:p>
      <w:pPr>
        <w:pStyle w:val="Heading1"/>
      </w:pPr>
      <w:r>
        <w:t>Language notes and source references</w:t>
      </w:r>
    </w:p>
    <w:p>
      <w:r>
        <w:t>The biblical passages are the primary evidence. The following published translation notes support the limited language observations. They are aids to verification, not denominational authorities governing interpretation. Biblical text was checked in the KJV; quotations from that text are public domain. This lesson does not claim a fresh collation of all manuscript images or direct consultation of every standard lexicon.</w:t>
      </w:r>
    </w:p>
    <w:p>
      <w:r>
        <w:t>[L1] NET Bible, Acts 17:11. Notes on receptivity and examination. https://classic.net.bible.org/passage.php?passage=Act+17%3A11</w:t>
      </w:r>
    </w:p>
    <w:p>
      <w:r>
        <w:t>[L2] NET Bible, 2 Timothy 2:15. Language display and accurate-handling explanation. https://classic.net.bible.org/verse.php?book=2Ti&amp;chapter=2&amp;theme=false&amp;verse=15</w:t>
      </w:r>
    </w:p>
    <w:p>
      <w:r>
        <w:t>[L3] NET Bible, John 5:39. Indicative and imperative alternatives. https://classic.net.bible.org/verse.php?book=Joh&amp;chapter=5&amp;tab=commentaries&amp;theme=wiki&amp;verse=39</w:t>
      </w:r>
    </w:p>
    <w:p>
      <w:r>
        <w:t>[L4] NET Bible, John 20:31. Published textual evidence and limits of the aspect distinction. https://classic.net.bible.org/passage.php?passage=Joh+20%3A31</w:t>
      </w:r>
    </w:p>
    <w:p>
      <w:r>
        <w:t>KJV reading verification: https://www.biblegateway.com/passage/?search=Acts+17%3A10-12&amp;version=KJV and https://www.biblegateway.com/passage/?search=John+20%3A24-31&amp;version=KJV</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M² FAITH  |  STUDENT 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